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BB8196" w14:textId="77777777" w:rsidR="00556279" w:rsidRDefault="00556279" w:rsidP="00556279"/>
    <w:p w14:paraId="583FF1F7" w14:textId="77777777" w:rsidR="00556279" w:rsidRDefault="00556279" w:rsidP="00556279"/>
    <w:p w14:paraId="3068DDA3" w14:textId="77777777" w:rsidR="00556279" w:rsidRDefault="00556279" w:rsidP="00556279"/>
    <w:p w14:paraId="17F7CDA1" w14:textId="77777777" w:rsidR="00556279" w:rsidRDefault="00556279" w:rsidP="00556279">
      <w:pPr>
        <w:jc w:val="center"/>
      </w:pPr>
    </w:p>
    <w:p w14:paraId="24BC5DB1" w14:textId="77777777" w:rsidR="00556279" w:rsidRDefault="00556279" w:rsidP="00556279">
      <w:pPr>
        <w:jc w:val="center"/>
      </w:pPr>
    </w:p>
    <w:p w14:paraId="178AF12A" w14:textId="77777777" w:rsidR="00556279" w:rsidRDefault="00556279" w:rsidP="00556279">
      <w:pPr>
        <w:jc w:val="center"/>
      </w:pPr>
    </w:p>
    <w:p w14:paraId="23CFC590" w14:textId="77777777" w:rsidR="00556279" w:rsidRDefault="00556279" w:rsidP="00556279">
      <w:pPr>
        <w:jc w:val="center"/>
      </w:pPr>
    </w:p>
    <w:p w14:paraId="0DDD8AFA" w14:textId="77777777" w:rsidR="00556279" w:rsidRDefault="00556279" w:rsidP="00556279">
      <w:pPr>
        <w:jc w:val="center"/>
      </w:pPr>
    </w:p>
    <w:p w14:paraId="04C9E7EE" w14:textId="74DAEDB1" w:rsidR="00556279" w:rsidRDefault="00E373D0" w:rsidP="00556279">
      <w:pPr>
        <w:jc w:val="center"/>
      </w:pPr>
      <w:r>
        <w:t xml:space="preserve">Traditional Income Statement </w:t>
      </w:r>
      <w:r>
        <w:t>a</w:t>
      </w:r>
      <w:r>
        <w:t>nd A Contribution Margin Income Statement</w:t>
      </w:r>
    </w:p>
    <w:p w14:paraId="64A849EE" w14:textId="58FDBC8A" w:rsidR="00556279" w:rsidRDefault="00E373D0" w:rsidP="00556279">
      <w:pPr>
        <w:jc w:val="center"/>
      </w:pPr>
      <w:r>
        <w:t>Student’s Name</w:t>
      </w:r>
    </w:p>
    <w:p w14:paraId="1936EFD9" w14:textId="1AC9846A" w:rsidR="00556279" w:rsidRPr="00556279" w:rsidRDefault="00E373D0" w:rsidP="00556279">
      <w:pPr>
        <w:jc w:val="center"/>
      </w:pPr>
      <w:r>
        <w:t>Institution Affiliations</w:t>
      </w:r>
    </w:p>
    <w:p w14:paraId="5722F405" w14:textId="77777777" w:rsidR="00556279" w:rsidRDefault="00556279" w:rsidP="008E4C3F">
      <w:pPr>
        <w:ind w:firstLine="720"/>
      </w:pPr>
    </w:p>
    <w:p w14:paraId="38930581" w14:textId="77777777" w:rsidR="00556279" w:rsidRDefault="00556279" w:rsidP="008E4C3F">
      <w:pPr>
        <w:ind w:firstLine="720"/>
      </w:pPr>
    </w:p>
    <w:p w14:paraId="6EBDE332" w14:textId="77777777" w:rsidR="00556279" w:rsidRDefault="00556279" w:rsidP="008E4C3F">
      <w:pPr>
        <w:ind w:firstLine="720"/>
      </w:pPr>
    </w:p>
    <w:p w14:paraId="7CC0EAF6" w14:textId="77777777" w:rsidR="00556279" w:rsidRDefault="00556279" w:rsidP="008E4C3F">
      <w:pPr>
        <w:ind w:firstLine="720"/>
      </w:pPr>
    </w:p>
    <w:p w14:paraId="4D2FC276" w14:textId="77777777" w:rsidR="00556279" w:rsidRDefault="00E373D0">
      <w:pPr>
        <w:spacing w:line="259" w:lineRule="auto"/>
        <w:jc w:val="left"/>
      </w:pPr>
      <w:r>
        <w:br w:type="page"/>
      </w:r>
    </w:p>
    <w:p w14:paraId="0A5BC748" w14:textId="1C092A6A" w:rsidR="002F29B9" w:rsidRPr="002F29B9" w:rsidRDefault="002F29B9" w:rsidP="002F29B9">
      <w:pPr>
        <w:ind w:firstLine="720"/>
        <w:jc w:val="center"/>
      </w:pPr>
      <w:r w:rsidRPr="002F29B9">
        <w:lastRenderedPageBreak/>
        <w:t>Traditional Income Statement a</w:t>
      </w:r>
      <w:r>
        <w:t>nd a</w:t>
      </w:r>
      <w:r w:rsidRPr="002F29B9">
        <w:t xml:space="preserve"> Contribution Margin Income Statement</w:t>
      </w:r>
    </w:p>
    <w:p w14:paraId="4EBAA396" w14:textId="420B790D" w:rsidR="009F7741" w:rsidRDefault="00E373D0" w:rsidP="008E4C3F">
      <w:pPr>
        <w:ind w:firstLine="720"/>
      </w:pPr>
      <w:r>
        <w:t xml:space="preserve">As an accountant, there are two essential income statements that all define the organization's financial position. These crucial documents are the </w:t>
      </w:r>
      <w:r w:rsidRPr="008E4C3F">
        <w:t>Traditional income statement</w:t>
      </w:r>
      <w:r>
        <w:t xml:space="preserve"> and the </w:t>
      </w:r>
      <w:r w:rsidRPr="008E4C3F">
        <w:t>Contribution margin income statement</w:t>
      </w:r>
      <w:r>
        <w:t xml:space="preserve">. In as much as they are all income </w:t>
      </w:r>
      <w:r>
        <w:t xml:space="preserve">statements, it is essential to understand some of their characteristics. Understanding these characteristics will enable you to make proper decisions in terms of what the organization wants at the moment. The reason behind this is that these two differ in </w:t>
      </w:r>
      <w:r>
        <w:t>terms of both their content and their structures. Accountants should be aware of all of them to ensure each is used for the correct purpose and situation.</w:t>
      </w:r>
    </w:p>
    <w:p w14:paraId="0355A39D" w14:textId="77777777" w:rsidR="00AE6AC3" w:rsidRDefault="00E373D0" w:rsidP="008E4C3F">
      <w:pPr>
        <w:ind w:firstLine="720"/>
      </w:pPr>
      <w:r>
        <w:t>Knowing the difference between t</w:t>
      </w:r>
      <w:r w:rsidRPr="008E4C3F">
        <w:t>raditional</w:t>
      </w:r>
      <w:r>
        <w:t xml:space="preserve"> and c</w:t>
      </w:r>
      <w:r w:rsidRPr="008E4C3F">
        <w:t>ontribution margin income statement</w:t>
      </w:r>
      <w:r>
        <w:t xml:space="preserve"> involves knowing </w:t>
      </w:r>
      <w:r>
        <w:t>the format as well as each statement’s focus and its users.</w:t>
      </w:r>
    </w:p>
    <w:p w14:paraId="7490BE70" w14:textId="321384B1" w:rsidR="008E4C3F" w:rsidRPr="00AE6AC3" w:rsidRDefault="00E373D0" w:rsidP="00AE6AC3">
      <w:pPr>
        <w:pStyle w:val="ListParagraph"/>
        <w:numPr>
          <w:ilvl w:val="0"/>
          <w:numId w:val="1"/>
        </w:numPr>
      </w:pPr>
      <w:r w:rsidRPr="00AE6AC3">
        <w:rPr>
          <w:b/>
          <w:bCs/>
        </w:rPr>
        <w:t>presenting a sample format for each statement,</w:t>
      </w:r>
      <w:r>
        <w:t xml:space="preserve"> </w:t>
      </w:r>
      <w:r w:rsidR="009730A1" w:rsidRPr="00AE6AC3">
        <w:t xml:space="preserve"> </w:t>
      </w:r>
    </w:p>
    <w:p w14:paraId="2B27D498" w14:textId="0446B65B" w:rsidR="00AE6AC3" w:rsidRDefault="00E373D0" w:rsidP="000C2E23">
      <w:pPr>
        <w:pStyle w:val="ListParagraph"/>
        <w:numPr>
          <w:ilvl w:val="0"/>
          <w:numId w:val="2"/>
        </w:numPr>
      </w:pPr>
      <w:r>
        <w:t>T</w:t>
      </w:r>
      <w:r>
        <w:t>r</w:t>
      </w:r>
      <w:r w:rsidR="00603BCB">
        <w:t>aditional</w:t>
      </w:r>
      <w:r>
        <w:t xml:space="preserve"> </w:t>
      </w:r>
      <w:r>
        <w:t>income statement</w:t>
      </w:r>
      <w:r>
        <w:t xml:space="preserve"> format</w:t>
      </w:r>
    </w:p>
    <w:p w14:paraId="45BDC0DF" w14:textId="77777777" w:rsidR="00603BCB" w:rsidRPr="00EB1953" w:rsidRDefault="00E373D0" w:rsidP="00603BCB">
      <w:pPr>
        <w:pStyle w:val="NormalWeb"/>
        <w:spacing w:before="0" w:beforeAutospacing="0" w:after="240" w:afterAutospacing="0"/>
        <w:textAlignment w:val="baseline"/>
        <w:rPr>
          <w:color w:val="333333"/>
        </w:rPr>
      </w:pPr>
      <w:r w:rsidRPr="00EB1953">
        <w:rPr>
          <w:color w:val="333333"/>
        </w:rPr>
        <w:t>Revenue</w:t>
      </w:r>
    </w:p>
    <w:p w14:paraId="1B9D1423" w14:textId="1D3FF5A1" w:rsidR="00603BCB" w:rsidRPr="00EB1953" w:rsidRDefault="00E373D0" w:rsidP="00603BCB">
      <w:pPr>
        <w:pStyle w:val="NormalWeb"/>
        <w:spacing w:before="0" w:beforeAutospacing="0" w:after="240" w:afterAutospacing="0"/>
        <w:ind w:firstLine="720"/>
        <w:textAlignment w:val="baseline"/>
        <w:rPr>
          <w:color w:val="333333"/>
        </w:rPr>
      </w:pPr>
      <w:r w:rsidRPr="00EB1953">
        <w:rPr>
          <w:color w:val="333333"/>
        </w:rPr>
        <w:t>Less:</w:t>
      </w:r>
      <w:r w:rsidRPr="00EB1953">
        <w:rPr>
          <w:color w:val="333333"/>
        </w:rPr>
        <w:t xml:space="preserve"> </w:t>
      </w:r>
      <w:r w:rsidRPr="00EB1953">
        <w:rPr>
          <w:color w:val="333333"/>
        </w:rPr>
        <w:t>Cost of goods</w:t>
      </w:r>
    </w:p>
    <w:p w14:paraId="741A567B" w14:textId="77777777" w:rsidR="00603BCB" w:rsidRPr="00EB1953" w:rsidRDefault="00E373D0" w:rsidP="00603BCB">
      <w:pPr>
        <w:pStyle w:val="NormalWeb"/>
        <w:spacing w:before="0" w:beforeAutospacing="0" w:after="240" w:afterAutospacing="0"/>
        <w:textAlignment w:val="baseline"/>
        <w:rPr>
          <w:color w:val="333333"/>
        </w:rPr>
      </w:pPr>
      <w:r w:rsidRPr="00EB1953">
        <w:rPr>
          <w:color w:val="333333"/>
        </w:rPr>
        <w:t>Gross profit</w:t>
      </w:r>
    </w:p>
    <w:p w14:paraId="3174AFBC" w14:textId="3980CCDC" w:rsidR="00603BCB" w:rsidRPr="00EB1953" w:rsidRDefault="00E373D0" w:rsidP="00603BCB">
      <w:pPr>
        <w:pStyle w:val="NormalWeb"/>
        <w:spacing w:before="0" w:beforeAutospacing="0" w:after="240" w:afterAutospacing="0"/>
        <w:ind w:firstLine="720"/>
        <w:textAlignment w:val="baseline"/>
        <w:rPr>
          <w:color w:val="333333"/>
        </w:rPr>
      </w:pPr>
      <w:r w:rsidRPr="00EB1953">
        <w:rPr>
          <w:color w:val="333333"/>
        </w:rPr>
        <w:t>Less:</w:t>
      </w:r>
      <w:r w:rsidRPr="00EB1953">
        <w:rPr>
          <w:color w:val="333333"/>
        </w:rPr>
        <w:t xml:space="preserve"> </w:t>
      </w:r>
      <w:r w:rsidRPr="00EB1953">
        <w:rPr>
          <w:color w:val="333333"/>
        </w:rPr>
        <w:t>SG&amp;A expenses</w:t>
      </w:r>
    </w:p>
    <w:p w14:paraId="64868D4C" w14:textId="77777777" w:rsidR="00603BCB" w:rsidRPr="00EB1953" w:rsidRDefault="00E373D0" w:rsidP="00603BCB">
      <w:pPr>
        <w:pStyle w:val="NormalWeb"/>
        <w:spacing w:before="0" w:beforeAutospacing="0" w:after="240" w:afterAutospacing="0"/>
        <w:textAlignment w:val="baseline"/>
        <w:rPr>
          <w:color w:val="333333"/>
        </w:rPr>
      </w:pPr>
      <w:r w:rsidRPr="00EB1953">
        <w:rPr>
          <w:color w:val="333333"/>
        </w:rPr>
        <w:t>Operating profit</w:t>
      </w:r>
    </w:p>
    <w:p w14:paraId="18E779D3" w14:textId="50331DB3" w:rsidR="00603BCB" w:rsidRPr="00EB1953" w:rsidRDefault="00E373D0" w:rsidP="00603BCB">
      <w:pPr>
        <w:pStyle w:val="NormalWeb"/>
        <w:spacing w:before="0" w:beforeAutospacing="0" w:after="240" w:afterAutospacing="0"/>
        <w:ind w:firstLine="720"/>
        <w:textAlignment w:val="baseline"/>
        <w:rPr>
          <w:color w:val="333333"/>
        </w:rPr>
      </w:pPr>
      <w:r w:rsidRPr="00EB1953">
        <w:rPr>
          <w:color w:val="333333"/>
        </w:rPr>
        <w:t>Less:</w:t>
      </w:r>
      <w:r w:rsidRPr="00EB1953">
        <w:rPr>
          <w:color w:val="333333"/>
        </w:rPr>
        <w:t xml:space="preserve"> </w:t>
      </w:r>
      <w:r w:rsidRPr="00EB1953">
        <w:rPr>
          <w:color w:val="333333"/>
        </w:rPr>
        <w:t>Depreciation</w:t>
      </w:r>
    </w:p>
    <w:p w14:paraId="033945A2" w14:textId="77777777" w:rsidR="00603BCB" w:rsidRPr="00EB1953" w:rsidRDefault="00E373D0" w:rsidP="00603BCB">
      <w:pPr>
        <w:pStyle w:val="NormalWeb"/>
        <w:spacing w:before="0" w:beforeAutospacing="0" w:after="240" w:afterAutospacing="0"/>
        <w:textAlignment w:val="baseline"/>
        <w:rPr>
          <w:color w:val="333333"/>
        </w:rPr>
      </w:pPr>
      <w:r w:rsidRPr="00EB1953">
        <w:rPr>
          <w:color w:val="333333"/>
        </w:rPr>
        <w:t>EBITDA</w:t>
      </w:r>
    </w:p>
    <w:p w14:paraId="4731113F" w14:textId="6DEDA07F" w:rsidR="00603BCB" w:rsidRPr="00EB1953" w:rsidRDefault="00E373D0" w:rsidP="00603BCB">
      <w:pPr>
        <w:pStyle w:val="NormalWeb"/>
        <w:spacing w:before="0" w:beforeAutospacing="0" w:after="240" w:afterAutospacing="0"/>
        <w:ind w:firstLine="720"/>
        <w:textAlignment w:val="baseline"/>
        <w:rPr>
          <w:color w:val="333333"/>
        </w:rPr>
      </w:pPr>
      <w:r w:rsidRPr="00EB1953">
        <w:rPr>
          <w:color w:val="333333"/>
        </w:rPr>
        <w:t>Less:</w:t>
      </w:r>
      <w:r w:rsidRPr="00EB1953">
        <w:rPr>
          <w:color w:val="333333"/>
        </w:rPr>
        <w:t xml:space="preserve"> </w:t>
      </w:r>
      <w:r w:rsidRPr="00EB1953">
        <w:rPr>
          <w:color w:val="333333"/>
        </w:rPr>
        <w:t>Interest expense</w:t>
      </w:r>
    </w:p>
    <w:p w14:paraId="406F7CF9" w14:textId="77777777" w:rsidR="00603BCB" w:rsidRPr="00EB1953" w:rsidRDefault="00E373D0" w:rsidP="00603BCB">
      <w:pPr>
        <w:pStyle w:val="NormalWeb"/>
        <w:spacing w:before="0" w:beforeAutospacing="0" w:after="240" w:afterAutospacing="0"/>
        <w:textAlignment w:val="baseline"/>
        <w:rPr>
          <w:color w:val="333333"/>
        </w:rPr>
      </w:pPr>
      <w:r w:rsidRPr="00EB1953">
        <w:rPr>
          <w:color w:val="333333"/>
        </w:rPr>
        <w:t>Profit before tax</w:t>
      </w:r>
    </w:p>
    <w:p w14:paraId="101A3A32" w14:textId="540735B7" w:rsidR="00603BCB" w:rsidRPr="00EB1953" w:rsidRDefault="00E373D0" w:rsidP="00603BCB">
      <w:pPr>
        <w:pStyle w:val="NormalWeb"/>
        <w:spacing w:before="0" w:beforeAutospacing="0" w:after="240" w:afterAutospacing="0"/>
        <w:ind w:firstLine="720"/>
        <w:textAlignment w:val="baseline"/>
        <w:rPr>
          <w:color w:val="333333"/>
        </w:rPr>
      </w:pPr>
      <w:r w:rsidRPr="00EB1953">
        <w:rPr>
          <w:color w:val="333333"/>
        </w:rPr>
        <w:t>Less:</w:t>
      </w:r>
      <w:r w:rsidRPr="00EB1953">
        <w:rPr>
          <w:color w:val="333333"/>
        </w:rPr>
        <w:t xml:space="preserve"> </w:t>
      </w:r>
      <w:r w:rsidRPr="00EB1953">
        <w:rPr>
          <w:color w:val="333333"/>
        </w:rPr>
        <w:t>Income tax</w:t>
      </w:r>
    </w:p>
    <w:p w14:paraId="39B211DA" w14:textId="263BE0E0" w:rsidR="000C2E23" w:rsidRPr="00EB1953" w:rsidRDefault="00E373D0" w:rsidP="00EB1953">
      <w:pPr>
        <w:pStyle w:val="NormalWeb"/>
        <w:spacing w:before="0" w:beforeAutospacing="0" w:after="240" w:afterAutospacing="0"/>
        <w:textAlignment w:val="baseline"/>
        <w:rPr>
          <w:color w:val="333333"/>
        </w:rPr>
      </w:pPr>
      <w:r w:rsidRPr="00EB1953">
        <w:rPr>
          <w:color w:val="333333"/>
        </w:rPr>
        <w:t>Net income</w:t>
      </w:r>
    </w:p>
    <w:p w14:paraId="34823955" w14:textId="742F6148" w:rsidR="00EB1953" w:rsidRDefault="00E373D0">
      <w:pPr>
        <w:spacing w:line="259" w:lineRule="auto"/>
        <w:jc w:val="left"/>
      </w:pPr>
      <w:r>
        <w:t>(</w:t>
      </w:r>
      <w:r w:rsidRPr="00171204">
        <w:rPr>
          <w:rFonts w:eastAsia="Times New Roman" w:cs="Times New Roman"/>
          <w:szCs w:val="24"/>
        </w:rPr>
        <w:t>Backer,</w:t>
      </w:r>
      <w:r w:rsidR="0039468E">
        <w:rPr>
          <w:rFonts w:eastAsia="Times New Roman" w:cs="Times New Roman"/>
          <w:szCs w:val="24"/>
        </w:rPr>
        <w:t xml:space="preserve"> </w:t>
      </w:r>
      <w:r>
        <w:rPr>
          <w:rFonts w:eastAsia="Times New Roman" w:cs="Times New Roman"/>
          <w:szCs w:val="24"/>
        </w:rPr>
        <w:t>2016</w:t>
      </w:r>
      <w:r>
        <w:t>)</w:t>
      </w:r>
      <w:r>
        <w:br w:type="page"/>
      </w:r>
    </w:p>
    <w:p w14:paraId="67351563" w14:textId="622EB27C" w:rsidR="008E4C3F" w:rsidRDefault="00E373D0" w:rsidP="00C70E61">
      <w:pPr>
        <w:pStyle w:val="ListParagraph"/>
        <w:numPr>
          <w:ilvl w:val="0"/>
          <w:numId w:val="2"/>
        </w:numPr>
      </w:pPr>
      <w:r w:rsidRPr="00C70E61">
        <w:lastRenderedPageBreak/>
        <w:t>Contribution margin statement</w:t>
      </w:r>
      <w:r>
        <w:t xml:space="preserve"> format is as below</w:t>
      </w:r>
    </w:p>
    <w:p w14:paraId="59F1BE42" w14:textId="75DED07E" w:rsidR="00C70E61" w:rsidRPr="00C70E61" w:rsidRDefault="00E373D0" w:rsidP="00C70E61">
      <w:pPr>
        <w:pStyle w:val="NormalWeb"/>
        <w:spacing w:before="0" w:beforeAutospacing="0" w:after="240" w:afterAutospacing="0"/>
        <w:textAlignment w:val="baseline"/>
        <w:rPr>
          <w:color w:val="333333"/>
        </w:rPr>
      </w:pPr>
      <w:r w:rsidRPr="00C70E61">
        <w:rPr>
          <w:color w:val="333333"/>
        </w:rPr>
        <w:t>S</w:t>
      </w:r>
      <w:r w:rsidRPr="00C70E61">
        <w:rPr>
          <w:color w:val="333333"/>
        </w:rPr>
        <w:t>ales</w:t>
      </w:r>
    </w:p>
    <w:p w14:paraId="2A1CE2D6" w14:textId="77777777" w:rsidR="00C70E61" w:rsidRPr="00C70E61" w:rsidRDefault="00E373D0" w:rsidP="00C70E61">
      <w:pPr>
        <w:pStyle w:val="NormalWeb"/>
        <w:spacing w:before="0" w:beforeAutospacing="0" w:after="240" w:afterAutospacing="0"/>
        <w:textAlignment w:val="baseline"/>
        <w:rPr>
          <w:color w:val="333333"/>
        </w:rPr>
      </w:pPr>
      <w:r w:rsidRPr="00C70E61">
        <w:rPr>
          <w:color w:val="333333"/>
        </w:rPr>
        <w:t>Less: Direct expenses</w:t>
      </w:r>
    </w:p>
    <w:p w14:paraId="3137050F" w14:textId="77777777" w:rsidR="00C70E61" w:rsidRPr="00C70E61" w:rsidRDefault="00E373D0" w:rsidP="00C70E61">
      <w:pPr>
        <w:pStyle w:val="NormalWeb"/>
        <w:spacing w:before="0" w:beforeAutospacing="0" w:after="240" w:afterAutospacing="0"/>
        <w:textAlignment w:val="baseline"/>
        <w:rPr>
          <w:color w:val="333333"/>
        </w:rPr>
      </w:pPr>
      <w:r w:rsidRPr="00C70E61">
        <w:rPr>
          <w:color w:val="333333"/>
        </w:rPr>
        <w:t>         Direct material</w:t>
      </w:r>
    </w:p>
    <w:p w14:paraId="26C9D7B5" w14:textId="2F4D2EF4" w:rsidR="00C70E61" w:rsidRPr="00C70E61" w:rsidRDefault="00E373D0" w:rsidP="00C70E61">
      <w:pPr>
        <w:pStyle w:val="NormalWeb"/>
        <w:spacing w:before="0" w:beforeAutospacing="0" w:after="240" w:afterAutospacing="0"/>
        <w:textAlignment w:val="baseline"/>
        <w:rPr>
          <w:color w:val="333333"/>
        </w:rPr>
      </w:pPr>
      <w:r w:rsidRPr="00C70E61">
        <w:rPr>
          <w:color w:val="333333"/>
        </w:rPr>
        <w:t>         Direct labor</w:t>
      </w:r>
    </w:p>
    <w:p w14:paraId="28650AA1" w14:textId="77777777" w:rsidR="00C70E61" w:rsidRPr="00C70E61" w:rsidRDefault="00E373D0" w:rsidP="00C70E61">
      <w:pPr>
        <w:pStyle w:val="NormalWeb"/>
        <w:spacing w:before="0" w:beforeAutospacing="0" w:after="240" w:afterAutospacing="0"/>
        <w:textAlignment w:val="baseline"/>
        <w:rPr>
          <w:color w:val="333333"/>
        </w:rPr>
      </w:pPr>
      <w:r w:rsidRPr="00C70E61">
        <w:rPr>
          <w:color w:val="333333"/>
        </w:rPr>
        <w:t>         Packing &amp; Shipping costs</w:t>
      </w:r>
    </w:p>
    <w:p w14:paraId="47558E17" w14:textId="77777777" w:rsidR="00C70E61" w:rsidRPr="00C70E61" w:rsidRDefault="00E373D0" w:rsidP="00C70E61">
      <w:pPr>
        <w:pStyle w:val="NormalWeb"/>
        <w:spacing w:before="0" w:beforeAutospacing="0" w:after="240" w:afterAutospacing="0"/>
        <w:textAlignment w:val="baseline"/>
        <w:rPr>
          <w:color w:val="333333"/>
        </w:rPr>
      </w:pPr>
      <w:r w:rsidRPr="00C70E61">
        <w:rPr>
          <w:color w:val="333333"/>
        </w:rPr>
        <w:t xml:space="preserve">         Sales </w:t>
      </w:r>
      <w:r w:rsidRPr="00C70E61">
        <w:rPr>
          <w:color w:val="333333"/>
        </w:rPr>
        <w:t>commissions</w:t>
      </w:r>
    </w:p>
    <w:p w14:paraId="3838ECC3" w14:textId="77777777" w:rsidR="00C70E61" w:rsidRPr="00C70E61" w:rsidRDefault="00E373D0" w:rsidP="00C70E61">
      <w:pPr>
        <w:pStyle w:val="NormalWeb"/>
        <w:spacing w:before="0" w:beforeAutospacing="0" w:after="240" w:afterAutospacing="0"/>
        <w:textAlignment w:val="baseline"/>
        <w:rPr>
          <w:color w:val="333333"/>
        </w:rPr>
      </w:pPr>
      <w:r w:rsidRPr="00C70E61">
        <w:rPr>
          <w:color w:val="333333"/>
        </w:rPr>
        <w:t>Contribution margin</w:t>
      </w:r>
    </w:p>
    <w:p w14:paraId="7ADFB799" w14:textId="59D9D7D1" w:rsidR="00C70E61" w:rsidRPr="00C70E61" w:rsidRDefault="00E373D0" w:rsidP="00C70E61">
      <w:pPr>
        <w:pStyle w:val="NormalWeb"/>
        <w:spacing w:before="0" w:beforeAutospacing="0" w:after="240" w:afterAutospacing="0"/>
        <w:textAlignment w:val="baseline"/>
        <w:rPr>
          <w:color w:val="333333"/>
        </w:rPr>
      </w:pPr>
      <w:r w:rsidRPr="00C70E61">
        <w:rPr>
          <w:color w:val="333333"/>
        </w:rPr>
        <w:t>Less: Fixed costs</w:t>
      </w:r>
    </w:p>
    <w:p w14:paraId="739362B6" w14:textId="77777777" w:rsidR="00C70E61" w:rsidRPr="00C70E61" w:rsidRDefault="00E373D0" w:rsidP="00C70E61">
      <w:pPr>
        <w:pStyle w:val="NormalWeb"/>
        <w:spacing w:before="0" w:beforeAutospacing="0" w:after="240" w:afterAutospacing="0"/>
        <w:textAlignment w:val="baseline"/>
        <w:rPr>
          <w:color w:val="333333"/>
        </w:rPr>
      </w:pPr>
      <w:r w:rsidRPr="00C70E61">
        <w:rPr>
          <w:color w:val="333333"/>
        </w:rPr>
        <w:t>        Operating overhead</w:t>
      </w:r>
    </w:p>
    <w:p w14:paraId="783EE350" w14:textId="77777777" w:rsidR="00C70E61" w:rsidRPr="00C70E61" w:rsidRDefault="00E373D0" w:rsidP="00C70E61">
      <w:pPr>
        <w:pStyle w:val="NormalWeb"/>
        <w:spacing w:before="0" w:beforeAutospacing="0" w:after="240" w:afterAutospacing="0"/>
        <w:textAlignment w:val="baseline"/>
        <w:rPr>
          <w:color w:val="333333"/>
        </w:rPr>
      </w:pPr>
      <w:r w:rsidRPr="00C70E61">
        <w:rPr>
          <w:color w:val="333333"/>
        </w:rPr>
        <w:t>         Administrative staff salary</w:t>
      </w:r>
    </w:p>
    <w:p w14:paraId="1FA3765D" w14:textId="77777777" w:rsidR="00C70E61" w:rsidRPr="00C70E61" w:rsidRDefault="00E373D0" w:rsidP="00C70E61">
      <w:pPr>
        <w:pStyle w:val="NormalWeb"/>
        <w:spacing w:before="0" w:beforeAutospacing="0" w:after="240" w:afterAutospacing="0"/>
        <w:textAlignment w:val="baseline"/>
        <w:rPr>
          <w:color w:val="333333"/>
        </w:rPr>
      </w:pPr>
      <w:r w:rsidRPr="00C70E61">
        <w:rPr>
          <w:color w:val="333333"/>
        </w:rPr>
        <w:t>         Office rental expense</w:t>
      </w:r>
    </w:p>
    <w:p w14:paraId="5D00A2D4" w14:textId="77777777" w:rsidR="00C70E61" w:rsidRPr="00C70E61" w:rsidRDefault="00E373D0" w:rsidP="00C70E61">
      <w:pPr>
        <w:pStyle w:val="NormalWeb"/>
        <w:spacing w:before="0" w:beforeAutospacing="0" w:after="240" w:afterAutospacing="0"/>
        <w:textAlignment w:val="baseline"/>
        <w:rPr>
          <w:color w:val="333333"/>
        </w:rPr>
      </w:pPr>
      <w:r w:rsidRPr="00C70E61">
        <w:rPr>
          <w:color w:val="333333"/>
        </w:rPr>
        <w:t>         Advertising expense</w:t>
      </w:r>
    </w:p>
    <w:p w14:paraId="7C737F12" w14:textId="03959AB3" w:rsidR="00C70E61" w:rsidRDefault="00E373D0" w:rsidP="00C70E61">
      <w:pPr>
        <w:pStyle w:val="NormalWeb"/>
        <w:spacing w:before="0" w:beforeAutospacing="0" w:after="240" w:afterAutospacing="0"/>
        <w:textAlignment w:val="baseline"/>
        <w:rPr>
          <w:color w:val="333333"/>
        </w:rPr>
      </w:pPr>
      <w:r w:rsidRPr="00C70E61">
        <w:rPr>
          <w:color w:val="333333"/>
        </w:rPr>
        <w:t>Operating income</w:t>
      </w:r>
    </w:p>
    <w:p w14:paraId="1D5C7FD9" w14:textId="00A171DE" w:rsidR="0039468E" w:rsidRPr="00C70E61" w:rsidRDefault="00E373D0" w:rsidP="00C70E61">
      <w:pPr>
        <w:pStyle w:val="NormalWeb"/>
        <w:spacing w:before="0" w:beforeAutospacing="0" w:after="240" w:afterAutospacing="0"/>
        <w:textAlignment w:val="baseline"/>
        <w:rPr>
          <w:color w:val="333333"/>
        </w:rPr>
      </w:pPr>
      <w:r>
        <w:t>(</w:t>
      </w:r>
      <w:r w:rsidRPr="00171204">
        <w:t>Backer,</w:t>
      </w:r>
      <w:r>
        <w:t xml:space="preserve"> 2016)</w:t>
      </w:r>
    </w:p>
    <w:p w14:paraId="08FB7C17" w14:textId="68D3408F" w:rsidR="00C70E61" w:rsidRPr="00FE2D07" w:rsidRDefault="00E373D0" w:rsidP="0045022A">
      <w:pPr>
        <w:pStyle w:val="ListParagraph"/>
        <w:numPr>
          <w:ilvl w:val="0"/>
          <w:numId w:val="1"/>
        </w:numPr>
        <w:rPr>
          <w:b/>
        </w:rPr>
      </w:pPr>
      <w:bookmarkStart w:id="0" w:name="_GoBack"/>
      <w:r w:rsidRPr="00FE2D07">
        <w:rPr>
          <w:b/>
        </w:rPr>
        <w:t>Describing the focus of each statement</w:t>
      </w:r>
    </w:p>
    <w:bookmarkEnd w:id="0"/>
    <w:p w14:paraId="0B608D1D" w14:textId="7FDC91D8" w:rsidR="0045022A" w:rsidRDefault="00E373D0" w:rsidP="00816257">
      <w:pPr>
        <w:ind w:firstLine="360"/>
      </w:pPr>
      <w:r>
        <w:t xml:space="preserve">From the </w:t>
      </w:r>
      <w:r>
        <w:t>above</w:t>
      </w:r>
      <w:r w:rsidR="00C0478E">
        <w:t xml:space="preserve">-presented </w:t>
      </w:r>
      <w:r>
        <w:t xml:space="preserve">formats, several distinguishing factors can be noted. </w:t>
      </w:r>
      <w:r w:rsidR="00C0478E">
        <w:t xml:space="preserve">One fundamental similarity is that the financial status of a company for a certain period is detailed. </w:t>
      </w:r>
      <w:r w:rsidR="008C7D35">
        <w:t>It is crucial to note the fundamental fact that they all show whether an organization has had a loss or a profit. The only distinguishing factor, in this case, is the way the final figure is obtained.</w:t>
      </w:r>
    </w:p>
    <w:p w14:paraId="6490F4DD" w14:textId="435E8C63" w:rsidR="00816257" w:rsidRPr="005104AA" w:rsidRDefault="00E373D0" w:rsidP="00816257">
      <w:pPr>
        <w:ind w:firstLine="360"/>
      </w:pPr>
      <w:r>
        <w:t xml:space="preserve">First of all, </w:t>
      </w:r>
      <w:r w:rsidRPr="00816257">
        <w:t>a profit and loss statement</w:t>
      </w:r>
      <w:r>
        <w:t xml:space="preserve"> is another name used to refer to the </w:t>
      </w:r>
      <w:r w:rsidRPr="00816257">
        <w:t>traditional income statement</w:t>
      </w:r>
      <w:r w:rsidR="00284BBA">
        <w:t xml:space="preserve"> (</w:t>
      </w:r>
      <w:r w:rsidR="00284BBA" w:rsidRPr="00171204">
        <w:rPr>
          <w:rFonts w:eastAsia="Times New Roman" w:cs="Times New Roman"/>
          <w:szCs w:val="24"/>
        </w:rPr>
        <w:t>Backer,</w:t>
      </w:r>
      <w:r w:rsidR="00284BBA">
        <w:rPr>
          <w:rFonts w:eastAsia="Times New Roman" w:cs="Times New Roman"/>
          <w:szCs w:val="24"/>
        </w:rPr>
        <w:t xml:space="preserve"> 2016</w:t>
      </w:r>
      <w:r w:rsidR="00284BBA">
        <w:t>)</w:t>
      </w:r>
      <w:r w:rsidR="00876083">
        <w:t xml:space="preserve">. This income statement type majorly focusses on ensuring that the product costs are separated. The product costs are very different from other expenses since they include the costs right from the manufacturing process to the period costs. The period costs are </w:t>
      </w:r>
      <w:r w:rsidR="00876083">
        <w:lastRenderedPageBreak/>
        <w:t>those that arise as a result of the selling of a product</w:t>
      </w:r>
      <w:r w:rsidR="00284BBA">
        <w:t xml:space="preserve"> (</w:t>
      </w:r>
      <w:r w:rsidR="00284BBA" w:rsidRPr="00171204">
        <w:rPr>
          <w:rFonts w:eastAsia="Times New Roman" w:cs="Times New Roman"/>
          <w:szCs w:val="24"/>
        </w:rPr>
        <w:t>Backer,</w:t>
      </w:r>
      <w:r w:rsidR="00284BBA">
        <w:rPr>
          <w:rFonts w:eastAsia="Times New Roman" w:cs="Times New Roman"/>
          <w:szCs w:val="24"/>
        </w:rPr>
        <w:t xml:space="preserve"> 2016</w:t>
      </w:r>
      <w:r w:rsidR="00284BBA">
        <w:t>)</w:t>
      </w:r>
      <w:r w:rsidR="00876083">
        <w:t xml:space="preserve">. </w:t>
      </w:r>
      <w:r w:rsidR="004477AE">
        <w:t xml:space="preserve">As a result of this fact, the statement can show the amount of revenue it has made over a certain period as well as the expenses incurred for the regular company's operations as well as non-operating activities. Just from analyzing it, it clearly shows the variable as well as fixed costs, as a result of this fact, it is the most straightforward income statement that can clearly show the company's income over a specified period. </w:t>
      </w:r>
      <w:r w:rsidR="005104AA">
        <w:t xml:space="preserve">due to this fact, it is right to say that the traditional income statement majors on understanding the different margin types that the company has </w:t>
      </w:r>
    </w:p>
    <w:p w14:paraId="0A7E9F60" w14:textId="2857E4C6" w:rsidR="006F1571" w:rsidRDefault="00E373D0" w:rsidP="006F1571">
      <w:pPr>
        <w:ind w:firstLine="360"/>
      </w:pPr>
      <w:r w:rsidRPr="00C70E61">
        <w:t>Contribution margin</w:t>
      </w:r>
      <w:r>
        <w:t xml:space="preserve"> income</w:t>
      </w:r>
      <w:r w:rsidRPr="00C70E61">
        <w:t xml:space="preserve"> statement</w:t>
      </w:r>
      <w:r>
        <w:t>, on the other majorly deals with the understanding the extent to which a partic</w:t>
      </w:r>
      <w:r>
        <w:t xml:space="preserve">ular organization's project profit goes once all the variable costs linked to the specific projects are </w:t>
      </w:r>
      <w:r w:rsidR="00362F9E">
        <w:t>accounted for and enlisted</w:t>
      </w:r>
      <w:r w:rsidR="00081A0A">
        <w:t xml:space="preserve"> (</w:t>
      </w:r>
      <w:r w:rsidR="00081A0A" w:rsidRPr="00171204">
        <w:rPr>
          <w:rFonts w:eastAsia="Times New Roman" w:cs="Times New Roman"/>
          <w:szCs w:val="24"/>
        </w:rPr>
        <w:t>Backer,</w:t>
      </w:r>
      <w:r w:rsidR="00081A0A">
        <w:rPr>
          <w:rFonts w:eastAsia="Times New Roman" w:cs="Times New Roman"/>
          <w:szCs w:val="24"/>
        </w:rPr>
        <w:t xml:space="preserve"> 2016</w:t>
      </w:r>
      <w:r w:rsidR="00081A0A" w:rsidRPr="00171204">
        <w:rPr>
          <w:rFonts w:eastAsia="Times New Roman" w:cs="Times New Roman"/>
          <w:szCs w:val="24"/>
        </w:rPr>
        <w:t>)</w:t>
      </w:r>
      <w:r>
        <w:t xml:space="preserve">. </w:t>
      </w:r>
      <w:r w:rsidR="004477AE" w:rsidRPr="00C70E61">
        <w:t>The contribution margin</w:t>
      </w:r>
      <w:r w:rsidR="004477AE">
        <w:t xml:space="preserve"> income</w:t>
      </w:r>
      <w:r w:rsidR="004477AE" w:rsidRPr="00C70E61">
        <w:t xml:space="preserve"> statement</w:t>
      </w:r>
      <w:r w:rsidR="004477AE">
        <w:t xml:space="preserve"> separately presents both the </w:t>
      </w:r>
      <w:r w:rsidR="004477AE" w:rsidRPr="004477AE">
        <w:t>variable and fixed</w:t>
      </w:r>
      <w:r w:rsidR="004477AE">
        <w:t xml:space="preserve"> expenses</w:t>
      </w:r>
      <w:r w:rsidR="00321500">
        <w:t>. In variable costs, for example, includes those products or items whose cost tends to keep varying as the time goes. Such products are like raw materials, expenditures such as company employees' salaries, among others</w:t>
      </w:r>
      <w:r w:rsidR="009609C9">
        <w:t xml:space="preserve"> (</w:t>
      </w:r>
      <w:r w:rsidR="009609C9" w:rsidRPr="00171204">
        <w:rPr>
          <w:rFonts w:eastAsia="Times New Roman" w:cs="Times New Roman"/>
          <w:szCs w:val="24"/>
        </w:rPr>
        <w:t xml:space="preserve">Hamman, </w:t>
      </w:r>
      <w:r w:rsidR="009609C9">
        <w:rPr>
          <w:rFonts w:eastAsia="Times New Roman" w:cs="Times New Roman"/>
          <w:szCs w:val="24"/>
        </w:rPr>
        <w:t>2015</w:t>
      </w:r>
      <w:r w:rsidR="009609C9" w:rsidRPr="00171204">
        <w:rPr>
          <w:rFonts w:eastAsia="Times New Roman" w:cs="Times New Roman"/>
          <w:szCs w:val="24"/>
        </w:rPr>
        <w:t>)</w:t>
      </w:r>
      <w:r w:rsidR="00321500">
        <w:t>. In such a case, all the expenses that are incurred in the process of production are considered. The same situation applies when fixed costs are considered.</w:t>
      </w:r>
    </w:p>
    <w:p w14:paraId="36FF6EF6" w14:textId="1E77E9EC" w:rsidR="006F1571" w:rsidRPr="00E24C4D" w:rsidRDefault="00E373D0" w:rsidP="006F1571">
      <w:pPr>
        <w:pStyle w:val="ListParagraph"/>
        <w:numPr>
          <w:ilvl w:val="0"/>
          <w:numId w:val="1"/>
        </w:numPr>
        <w:rPr>
          <w:b/>
          <w:bCs/>
        </w:rPr>
      </w:pPr>
      <w:r w:rsidRPr="00E24C4D">
        <w:rPr>
          <w:b/>
          <w:bCs/>
        </w:rPr>
        <w:t>Discuss how and by whom each statement is used.</w:t>
      </w:r>
    </w:p>
    <w:p w14:paraId="30A0F4AB" w14:textId="77777777" w:rsidR="00571287" w:rsidRDefault="00E373D0" w:rsidP="006F1571">
      <w:r>
        <w:t>In order to understand how a company or an organization is performing financially, ma</w:t>
      </w:r>
      <w:r>
        <w:t xml:space="preserve">rket participants </w:t>
      </w:r>
      <w:r w:rsidR="00C0116C">
        <w:t>like creditors, investors, banks, vendors, among</w:t>
      </w:r>
      <w:r>
        <w:t xml:space="preserve"> other key market stakeholders, use </w:t>
      </w:r>
      <w:r w:rsidR="003D365D">
        <w:t xml:space="preserve">the </w:t>
      </w:r>
      <w:r>
        <w:t>traditional income statement</w:t>
      </w:r>
      <w:r w:rsidR="00C0116C">
        <w:t xml:space="preserve"> to analyze the company’s financial position</w:t>
      </w:r>
      <w:r>
        <w:t xml:space="preserve">. </w:t>
      </w:r>
      <w:r w:rsidR="003D365D">
        <w:t xml:space="preserve">It is important to note that most of the businesses that use the profit and loss statement are the small ones or starting ones. </w:t>
      </w:r>
      <w:r>
        <w:t>This fact shows the group that frequently uses the</w:t>
      </w:r>
      <w:r>
        <w:t xml:space="preserve"> traditional income statement</w:t>
      </w:r>
      <w:r>
        <w:t xml:space="preserve"> and its relevance to them. </w:t>
      </w:r>
    </w:p>
    <w:p w14:paraId="7955C185" w14:textId="34C6AD37" w:rsidR="006F1571" w:rsidRDefault="00E373D0" w:rsidP="006F1571">
      <w:r>
        <w:lastRenderedPageBreak/>
        <w:t>Contribution margin statement</w:t>
      </w:r>
      <w:r>
        <w:t>, on the other hand, it is more popular among the managers of a fir</w:t>
      </w:r>
      <w:r>
        <w:t>m or business. The fundamental reason for it being common among managers is that it is beneficial in determining the actual cost of producing a single product. Once this actual product production cost is established, it becomes increasingly easier to decid</w:t>
      </w:r>
      <w:r>
        <w:t xml:space="preserve">e on its price </w:t>
      </w:r>
      <w:r w:rsidR="00047664">
        <w:t>since these managers already have information regarding the</w:t>
      </w:r>
      <w:r w:rsidR="00C52B04">
        <w:t xml:space="preserve"> real cost of producing the product</w:t>
      </w:r>
      <w:r w:rsidR="006A169F">
        <w:t xml:space="preserve"> (</w:t>
      </w:r>
      <w:r w:rsidR="006A169F" w:rsidRPr="00171204">
        <w:rPr>
          <w:rFonts w:eastAsia="Times New Roman" w:cs="Times New Roman"/>
          <w:szCs w:val="24"/>
        </w:rPr>
        <w:t xml:space="preserve">Hamman, </w:t>
      </w:r>
      <w:r w:rsidR="006A169F">
        <w:rPr>
          <w:rFonts w:eastAsia="Times New Roman" w:cs="Times New Roman"/>
          <w:szCs w:val="24"/>
        </w:rPr>
        <w:t>2015</w:t>
      </w:r>
      <w:r w:rsidR="006A169F" w:rsidRPr="00171204">
        <w:rPr>
          <w:rFonts w:eastAsia="Times New Roman" w:cs="Times New Roman"/>
          <w:szCs w:val="24"/>
        </w:rPr>
        <w:t>)</w:t>
      </w:r>
      <w:r w:rsidR="00C52B04">
        <w:t xml:space="preserve">. </w:t>
      </w:r>
      <w:r w:rsidR="00571287">
        <w:t xml:space="preserve">The </w:t>
      </w:r>
      <w:r w:rsidR="00802C2A">
        <w:t>contribution</w:t>
      </w:r>
      <w:r w:rsidR="00571287">
        <w:t xml:space="preserve"> margin statement</w:t>
      </w:r>
      <w:r w:rsidR="00984EEC">
        <w:t xml:space="preserve"> appears to be an internal financial report whose users </w:t>
      </w:r>
      <w:r w:rsidR="00291A22">
        <w:t xml:space="preserve">are mostly </w:t>
      </w:r>
      <w:r w:rsidR="007B33D5">
        <w:t>within the business</w:t>
      </w:r>
      <w:r w:rsidR="00291A22">
        <w:t>. The reason this is that</w:t>
      </w:r>
      <w:r w:rsidR="00802C2A">
        <w:t xml:space="preserve">, even from its format, all the individual expenses are well broken down to ensure that it clearly shows where all the money is so that all the company's assets and expenses are balanced. It is, therefore, logical to associate the contribution margin income statement to being used internally, especially in large corporations. </w:t>
      </w:r>
    </w:p>
    <w:p w14:paraId="152ACF4E" w14:textId="0D884269" w:rsidR="004775B2" w:rsidRPr="004775B2" w:rsidRDefault="00E373D0" w:rsidP="006F1571">
      <w:pPr>
        <w:rPr>
          <w:b/>
          <w:bCs/>
        </w:rPr>
      </w:pPr>
      <w:r w:rsidRPr="004775B2">
        <w:rPr>
          <w:b/>
          <w:bCs/>
        </w:rPr>
        <w:t>QUESTION 2</w:t>
      </w:r>
    </w:p>
    <w:p w14:paraId="3F687C5A" w14:textId="7FBEB732" w:rsidR="004775B2" w:rsidRDefault="00E373D0" w:rsidP="004E4B83">
      <w:pPr>
        <w:rPr>
          <w:b/>
          <w:bCs/>
        </w:rPr>
      </w:pPr>
      <w:r w:rsidRPr="004E4B83">
        <w:rPr>
          <w:b/>
          <w:bCs/>
        </w:rPr>
        <w:t xml:space="preserve">Lowman Inc. sells a product with a sales price of $25 per unit, variable costs of $10 per unit, and total fixed costs of $100,000. Lowman is looking into </w:t>
      </w:r>
      <w:r w:rsidRPr="004E4B83">
        <w:rPr>
          <w:b/>
          <w:bCs/>
        </w:rPr>
        <w:t>implementing an aggressive advertising campaign that will cost $45,000.</w:t>
      </w:r>
      <w:r>
        <w:rPr>
          <w:b/>
          <w:bCs/>
        </w:rPr>
        <w:t xml:space="preserve"> </w:t>
      </w:r>
      <w:r w:rsidRPr="004E4B83">
        <w:rPr>
          <w:b/>
          <w:bCs/>
        </w:rPr>
        <w:t>By what amount do sales dollars need to at least increase by in order for the company's overall profits to not decrease by having the advertising campaign?</w:t>
      </w:r>
    </w:p>
    <w:p w14:paraId="32BC45D8" w14:textId="369F28A7" w:rsidR="004E4B83" w:rsidRDefault="00E373D0" w:rsidP="004E4B83">
      <w:r>
        <w:t>$25</w:t>
      </w:r>
      <w:r>
        <w:t xml:space="preserve"> == </w:t>
      </w:r>
      <w:r>
        <w:t>Sales price per unit</w:t>
      </w:r>
    </w:p>
    <w:p w14:paraId="12E75208" w14:textId="3412C64F" w:rsidR="000E4C3A" w:rsidRDefault="00E373D0" w:rsidP="004E4B83">
      <w:r>
        <w:t>Variable cost</w:t>
      </w:r>
      <w:r>
        <w:t xml:space="preserve"> == as the output is varying, so is the cost. The variation is always proportional.</w:t>
      </w:r>
    </w:p>
    <w:p w14:paraId="08993827" w14:textId="34554EA7" w:rsidR="000E4C3A" w:rsidRDefault="00E373D0" w:rsidP="004E4B83">
      <w:r>
        <w:t>Variable cost per unit</w:t>
      </w:r>
      <w:r>
        <w:t xml:space="preserve"> == </w:t>
      </w:r>
      <w:r>
        <w:t>total variable cost</w:t>
      </w:r>
      <w:r>
        <w:t xml:space="preserve"> for making a </w:t>
      </w:r>
      <w:r>
        <w:t>unit of the product.</w:t>
      </w:r>
    </w:p>
    <w:p w14:paraId="47B73ADA" w14:textId="62A1E7CE" w:rsidR="000E4C3A" w:rsidRDefault="00E373D0" w:rsidP="004E4B83">
      <w:r>
        <w:t>Fixed cost</w:t>
      </w:r>
      <w:r>
        <w:t xml:space="preserve"> == cost that remains constant even when the output level ch</w:t>
      </w:r>
      <w:r w:rsidR="006F3D7D">
        <w:t>an</w:t>
      </w:r>
      <w:r>
        <w:t>ges</w:t>
      </w:r>
    </w:p>
    <w:p w14:paraId="7846A864" w14:textId="3F94F57C" w:rsidR="00D529F9" w:rsidRDefault="00E373D0" w:rsidP="004E4B83">
      <w:r>
        <w:t>Var</w:t>
      </w:r>
      <w:r>
        <w:t>iable cost per unit</w:t>
      </w:r>
      <w:r>
        <w:t xml:space="preserve"> == </w:t>
      </w:r>
      <w:r>
        <w:t>total fixed cost</w:t>
      </w:r>
      <w:r>
        <w:t xml:space="preserve"> for making a unit product.</w:t>
      </w:r>
    </w:p>
    <w:p w14:paraId="509A72CF" w14:textId="172B9E44" w:rsidR="00D529F9" w:rsidRDefault="00E373D0" w:rsidP="004E4B83">
      <w:r>
        <w:t>Contribution margin</w:t>
      </w:r>
      <w:r>
        <w:t xml:space="preserve"> == </w:t>
      </w:r>
      <w:r>
        <w:t xml:space="preserve">selling price per unit </w:t>
      </w:r>
      <w:r>
        <w:t xml:space="preserve">- </w:t>
      </w:r>
      <w:r>
        <w:t>the variable cost per unit</w:t>
      </w:r>
      <w:r>
        <w:t xml:space="preserve"> of a product.</w:t>
      </w:r>
    </w:p>
    <w:p w14:paraId="7F634EAC" w14:textId="22E9C561" w:rsidR="00D529F9" w:rsidRDefault="00E373D0" w:rsidP="004E4B83">
      <w:r>
        <w:t>Contribution margin ratio</w:t>
      </w:r>
      <w:r>
        <w:t xml:space="preserve"> == </w:t>
      </w:r>
      <w:r>
        <w:t>contribution margin</w:t>
      </w:r>
      <w:r>
        <w:t>/</w:t>
      </w:r>
      <w:r w:rsidRPr="00D529F9">
        <w:t xml:space="preserve"> </w:t>
      </w:r>
      <w:r>
        <w:t>selling price</w:t>
      </w:r>
    </w:p>
    <w:p w14:paraId="7D45E1CB" w14:textId="6DED9381" w:rsidR="00D529F9" w:rsidRDefault="00E373D0" w:rsidP="003C2D41">
      <w:pPr>
        <w:spacing w:line="240" w:lineRule="auto"/>
      </w:pPr>
      <w:r>
        <w:lastRenderedPageBreak/>
        <w:t xml:space="preserve">In our case, </w:t>
      </w:r>
      <w:r w:rsidR="00C04568">
        <w:t>the variable cost per unit is $10.</w:t>
      </w:r>
    </w:p>
    <w:p w14:paraId="4E40BB51" w14:textId="69D3E35D" w:rsidR="00C04568" w:rsidRDefault="00E373D0" w:rsidP="003C2D41">
      <w:pPr>
        <w:spacing w:line="240" w:lineRule="auto"/>
      </w:pPr>
      <w:r>
        <w:t>Since;</w:t>
      </w:r>
    </w:p>
    <w:p w14:paraId="0EED91F7" w14:textId="77777777" w:rsidR="00C04568" w:rsidRPr="00C04568" w:rsidRDefault="00E373D0" w:rsidP="003C2D41">
      <w:pPr>
        <w:spacing w:line="240" w:lineRule="auto"/>
      </w:pPr>
      <w:r w:rsidRPr="00C04568">
        <w:t>Contribution margin per unit</w:t>
      </w:r>
    </w:p>
    <w:p w14:paraId="4B057118" w14:textId="77777777" w:rsidR="00C04568" w:rsidRPr="00C04568" w:rsidRDefault="00E373D0" w:rsidP="003C2D41">
      <w:pPr>
        <w:spacing w:line="240" w:lineRule="auto"/>
      </w:pPr>
      <w:r w:rsidRPr="00C04568">
        <w:t>= Selling price per unit – Variable cost per unit</w:t>
      </w:r>
    </w:p>
    <w:p w14:paraId="2AD080AF" w14:textId="77777777" w:rsidR="00C04568" w:rsidRPr="00C04568" w:rsidRDefault="00E373D0" w:rsidP="003C2D41">
      <w:pPr>
        <w:spacing w:line="240" w:lineRule="auto"/>
      </w:pPr>
      <w:r w:rsidRPr="00C04568">
        <w:t>= $25 - $10</w:t>
      </w:r>
    </w:p>
    <w:p w14:paraId="1BE580AF" w14:textId="77777777" w:rsidR="00C04568" w:rsidRPr="00C04568" w:rsidRDefault="00E373D0" w:rsidP="003C2D41">
      <w:pPr>
        <w:spacing w:line="240" w:lineRule="auto"/>
      </w:pPr>
      <w:r w:rsidRPr="00C04568">
        <w:t>= $15</w:t>
      </w:r>
    </w:p>
    <w:p w14:paraId="00C6468C" w14:textId="6A49C43C" w:rsidR="00C04568" w:rsidRDefault="00E373D0" w:rsidP="003C2D41">
      <w:pPr>
        <w:spacing w:line="240" w:lineRule="auto"/>
      </w:pPr>
      <w:r>
        <w:t xml:space="preserve">Also, </w:t>
      </w:r>
    </w:p>
    <w:p w14:paraId="4717DF09" w14:textId="77777777" w:rsidR="00C04568" w:rsidRPr="00C04568" w:rsidRDefault="00E373D0" w:rsidP="003C2D41">
      <w:pPr>
        <w:spacing w:line="240" w:lineRule="auto"/>
      </w:pPr>
      <w:r w:rsidRPr="00C04568">
        <w:t>Contribution margin ratio</w:t>
      </w:r>
    </w:p>
    <w:p w14:paraId="79D4422B" w14:textId="77777777" w:rsidR="00C04568" w:rsidRPr="00C04568" w:rsidRDefault="00E373D0" w:rsidP="003C2D41">
      <w:pPr>
        <w:spacing w:line="240" w:lineRule="auto"/>
      </w:pPr>
      <w:r w:rsidRPr="00C04568">
        <w:t>= (Contribution margin per unit/Selling price per unit) × 100</w:t>
      </w:r>
    </w:p>
    <w:p w14:paraId="5EFB6D05" w14:textId="77777777" w:rsidR="00C04568" w:rsidRPr="00C04568" w:rsidRDefault="00E373D0" w:rsidP="003C2D41">
      <w:pPr>
        <w:spacing w:line="240" w:lineRule="auto"/>
      </w:pPr>
      <w:r w:rsidRPr="00C04568">
        <w:t>= ($15/$25) × 100</w:t>
      </w:r>
    </w:p>
    <w:p w14:paraId="6E924D54" w14:textId="77777777" w:rsidR="00C04568" w:rsidRPr="00C04568" w:rsidRDefault="00E373D0" w:rsidP="003C2D41">
      <w:pPr>
        <w:spacing w:line="240" w:lineRule="auto"/>
      </w:pPr>
      <w:r w:rsidRPr="00C04568">
        <w:t>= 60%</w:t>
      </w:r>
    </w:p>
    <w:p w14:paraId="2AFA11EE" w14:textId="53A6393A" w:rsidR="00C04568" w:rsidRDefault="00E373D0" w:rsidP="003C2D41">
      <w:pPr>
        <w:spacing w:line="240" w:lineRule="auto"/>
      </w:pPr>
      <w:r>
        <w:t>A</w:t>
      </w:r>
      <w:r>
        <w:t xml:space="preserve">dvertising campaign </w:t>
      </w:r>
      <w:r>
        <w:t xml:space="preserve">cost </w:t>
      </w:r>
      <w:r>
        <w:t>= $45,000</w:t>
      </w:r>
    </w:p>
    <w:p w14:paraId="2AEE4C59" w14:textId="6EFB730C" w:rsidR="00C04568" w:rsidRDefault="00E373D0" w:rsidP="003C2D41">
      <w:pPr>
        <w:spacing w:line="240" w:lineRule="auto"/>
      </w:pPr>
      <w:r>
        <w:t xml:space="preserve">Therefore, </w:t>
      </w:r>
    </w:p>
    <w:p w14:paraId="3F7985C6" w14:textId="51065452" w:rsidR="00C04568" w:rsidRDefault="00E373D0" w:rsidP="003C2D41">
      <w:pPr>
        <w:spacing w:line="240" w:lineRule="auto"/>
      </w:pPr>
      <w:r>
        <w:tab/>
      </w:r>
      <w:r>
        <w:tab/>
      </w:r>
      <w:r>
        <w:t>Contribution margin ratio = 60%</w:t>
      </w:r>
    </w:p>
    <w:p w14:paraId="7ADD9DA9" w14:textId="55712ED1" w:rsidR="00C04568" w:rsidRDefault="00E373D0" w:rsidP="003C2D41">
      <w:pPr>
        <w:spacing w:line="240" w:lineRule="auto"/>
      </w:pPr>
      <w:r>
        <w:t xml:space="preserve">Due to this, the </w:t>
      </w:r>
      <w:r>
        <w:t>required increase in sales dollars</w:t>
      </w:r>
    </w:p>
    <w:p w14:paraId="29CD58A0" w14:textId="77777777" w:rsidR="00C04568" w:rsidRDefault="00E373D0" w:rsidP="003C2D41">
      <w:pPr>
        <w:spacing w:line="240" w:lineRule="auto"/>
      </w:pPr>
      <w:r>
        <w:tab/>
      </w:r>
      <w:r>
        <w:tab/>
      </w:r>
      <w:r w:rsidRPr="00C04568">
        <w:t>= $45,000 / 60%</w:t>
      </w:r>
    </w:p>
    <w:p w14:paraId="5A8A349C" w14:textId="55F81869" w:rsidR="00C04568" w:rsidRPr="00C04568" w:rsidRDefault="00E373D0" w:rsidP="003C2D41">
      <w:pPr>
        <w:spacing w:line="240" w:lineRule="auto"/>
        <w:ind w:left="720" w:firstLine="720"/>
      </w:pPr>
      <w:r w:rsidRPr="00C04568">
        <w:t>= $75,000</w:t>
      </w:r>
    </w:p>
    <w:p w14:paraId="721DF684" w14:textId="0328E087" w:rsidR="00236F7A" w:rsidRDefault="00E373D0" w:rsidP="004E4B83">
      <w:r>
        <w:t xml:space="preserve">Due to this, it means that once </w:t>
      </w:r>
      <w:r>
        <w:t xml:space="preserve">the sales dollars </w:t>
      </w:r>
      <w:r>
        <w:t>undergo an</w:t>
      </w:r>
      <w:r>
        <w:t xml:space="preserve"> increase</w:t>
      </w:r>
      <w:r>
        <w:t xml:space="preserve"> of</w:t>
      </w:r>
      <w:r>
        <w:t xml:space="preserve"> $75,000</w:t>
      </w:r>
      <w:r>
        <w:t>, there will no</w:t>
      </w:r>
      <w:r>
        <w:t xml:space="preserve">t be any considerable decline in the profits for the company just because there is an </w:t>
      </w:r>
      <w:r>
        <w:t>advertising campaign.</w:t>
      </w:r>
    </w:p>
    <w:p w14:paraId="3DD2E3D0" w14:textId="77777777" w:rsidR="003C2D41" w:rsidRDefault="00E373D0">
      <w:pPr>
        <w:spacing w:line="259" w:lineRule="auto"/>
        <w:jc w:val="left"/>
      </w:pPr>
      <w:r>
        <w:br w:type="page"/>
      </w:r>
    </w:p>
    <w:p w14:paraId="3944100F" w14:textId="7C5AAE05" w:rsidR="00C04568" w:rsidRDefault="00E373D0" w:rsidP="00236F7A">
      <w:pPr>
        <w:jc w:val="center"/>
      </w:pPr>
      <w:r>
        <w:lastRenderedPageBreak/>
        <w:t xml:space="preserve">References </w:t>
      </w:r>
    </w:p>
    <w:p w14:paraId="2D216F71" w14:textId="321A64AC" w:rsidR="00171204" w:rsidRPr="00171204" w:rsidRDefault="00E373D0" w:rsidP="00171204">
      <w:pPr>
        <w:spacing w:after="0"/>
        <w:ind w:left="720" w:hanging="720"/>
        <w:contextualSpacing/>
        <w:jc w:val="left"/>
        <w:rPr>
          <w:rFonts w:eastAsia="Times New Roman" w:cs="Times New Roman"/>
          <w:szCs w:val="24"/>
        </w:rPr>
      </w:pPr>
      <w:r w:rsidRPr="00171204">
        <w:rPr>
          <w:rFonts w:eastAsia="Times New Roman" w:cs="Times New Roman"/>
          <w:szCs w:val="24"/>
        </w:rPr>
        <w:t>Backer, M. (</w:t>
      </w:r>
      <w:r>
        <w:rPr>
          <w:rFonts w:eastAsia="Times New Roman" w:cs="Times New Roman"/>
          <w:szCs w:val="24"/>
        </w:rPr>
        <w:t>2016</w:t>
      </w:r>
      <w:r w:rsidRPr="00171204">
        <w:rPr>
          <w:rFonts w:eastAsia="Times New Roman" w:cs="Times New Roman"/>
          <w:szCs w:val="24"/>
        </w:rPr>
        <w:t xml:space="preserve">). Financial reporting and security investment decisions. </w:t>
      </w:r>
      <w:r w:rsidRPr="00171204">
        <w:rPr>
          <w:rFonts w:eastAsia="Times New Roman" w:cs="Times New Roman"/>
          <w:i/>
          <w:iCs/>
          <w:szCs w:val="24"/>
        </w:rPr>
        <w:t>Financial Analysts Journal</w:t>
      </w:r>
      <w:r w:rsidRPr="00171204">
        <w:rPr>
          <w:rFonts w:eastAsia="Times New Roman" w:cs="Times New Roman"/>
          <w:szCs w:val="24"/>
        </w:rPr>
        <w:t xml:space="preserve">, </w:t>
      </w:r>
      <w:r w:rsidRPr="00171204">
        <w:rPr>
          <w:rFonts w:eastAsia="Times New Roman" w:cs="Times New Roman"/>
          <w:i/>
          <w:iCs/>
          <w:szCs w:val="24"/>
        </w:rPr>
        <w:t>27</w:t>
      </w:r>
      <w:r w:rsidRPr="00171204">
        <w:rPr>
          <w:rFonts w:eastAsia="Times New Roman" w:cs="Times New Roman"/>
          <w:szCs w:val="24"/>
        </w:rPr>
        <w:t>(2), 67-72.</w:t>
      </w:r>
    </w:p>
    <w:p w14:paraId="76BD021D" w14:textId="77777777" w:rsidR="00171204" w:rsidRDefault="00E373D0" w:rsidP="00171204">
      <w:pPr>
        <w:spacing w:after="0"/>
        <w:ind w:left="720" w:hanging="720"/>
        <w:contextualSpacing/>
        <w:jc w:val="left"/>
        <w:rPr>
          <w:rFonts w:eastAsia="Times New Roman" w:cs="Times New Roman"/>
          <w:szCs w:val="24"/>
        </w:rPr>
      </w:pPr>
      <w:r w:rsidRPr="00171204">
        <w:rPr>
          <w:rFonts w:eastAsia="Times New Roman" w:cs="Times New Roman"/>
          <w:szCs w:val="24"/>
        </w:rPr>
        <w:t>Hamman, W. D. (</w:t>
      </w:r>
      <w:r>
        <w:rPr>
          <w:rFonts w:eastAsia="Times New Roman" w:cs="Times New Roman"/>
          <w:szCs w:val="24"/>
        </w:rPr>
        <w:t>201</w:t>
      </w:r>
      <w:r>
        <w:rPr>
          <w:rFonts w:eastAsia="Times New Roman" w:cs="Times New Roman"/>
          <w:szCs w:val="24"/>
        </w:rPr>
        <w:t>5</w:t>
      </w:r>
      <w:r w:rsidRPr="00171204">
        <w:rPr>
          <w:rFonts w:eastAsia="Times New Roman" w:cs="Times New Roman"/>
          <w:szCs w:val="24"/>
        </w:rPr>
        <w:t xml:space="preserve">). Cash Flow Statements: The importance of cash from operating activities—Investment Basics XXIX. </w:t>
      </w:r>
      <w:r w:rsidRPr="00171204">
        <w:rPr>
          <w:rFonts w:eastAsia="Times New Roman" w:cs="Times New Roman"/>
          <w:i/>
          <w:iCs/>
          <w:szCs w:val="24"/>
        </w:rPr>
        <w:t>Investment Analysts Journal</w:t>
      </w:r>
      <w:r w:rsidRPr="00171204">
        <w:rPr>
          <w:rFonts w:eastAsia="Times New Roman" w:cs="Times New Roman"/>
          <w:szCs w:val="24"/>
        </w:rPr>
        <w:t xml:space="preserve">, </w:t>
      </w:r>
      <w:r w:rsidRPr="00171204">
        <w:rPr>
          <w:rFonts w:eastAsia="Times New Roman" w:cs="Times New Roman"/>
          <w:i/>
          <w:iCs/>
          <w:szCs w:val="24"/>
        </w:rPr>
        <w:t>23</w:t>
      </w:r>
      <w:r w:rsidRPr="00171204">
        <w:rPr>
          <w:rFonts w:eastAsia="Times New Roman" w:cs="Times New Roman"/>
          <w:szCs w:val="24"/>
        </w:rPr>
        <w:t>(39), 68-69.</w:t>
      </w:r>
    </w:p>
    <w:p w14:paraId="06C445F4" w14:textId="77777777" w:rsidR="00171204" w:rsidRPr="00171204" w:rsidRDefault="00171204" w:rsidP="00171204">
      <w:pPr>
        <w:spacing w:after="0" w:line="240" w:lineRule="auto"/>
        <w:jc w:val="left"/>
        <w:rPr>
          <w:rFonts w:eastAsia="Times New Roman" w:cs="Times New Roman"/>
          <w:szCs w:val="24"/>
        </w:rPr>
      </w:pPr>
    </w:p>
    <w:p w14:paraId="2F4B0C79" w14:textId="77777777" w:rsidR="00236F7A" w:rsidRPr="00C04568" w:rsidRDefault="00236F7A" w:rsidP="00171204"/>
    <w:sectPr w:rsidR="00236F7A" w:rsidRPr="00C04568" w:rsidSect="00236F7A">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0D5EB8" w14:textId="77777777" w:rsidR="00E373D0" w:rsidRDefault="00E373D0">
      <w:pPr>
        <w:spacing w:after="0" w:line="240" w:lineRule="auto"/>
      </w:pPr>
      <w:r>
        <w:separator/>
      </w:r>
    </w:p>
  </w:endnote>
  <w:endnote w:type="continuationSeparator" w:id="0">
    <w:p w14:paraId="21285EC3" w14:textId="77777777" w:rsidR="00E373D0" w:rsidRDefault="00E37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59A382" w14:textId="77777777" w:rsidR="00E373D0" w:rsidRDefault="00E373D0">
      <w:pPr>
        <w:spacing w:after="0" w:line="240" w:lineRule="auto"/>
      </w:pPr>
      <w:r>
        <w:separator/>
      </w:r>
    </w:p>
  </w:footnote>
  <w:footnote w:type="continuationSeparator" w:id="0">
    <w:p w14:paraId="6B86A37D" w14:textId="77777777" w:rsidR="00E373D0" w:rsidRDefault="00E373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22558" w14:textId="14488F65" w:rsidR="00236F7A" w:rsidRDefault="00E373D0">
    <w:pPr>
      <w:pStyle w:val="Header"/>
      <w:jc w:val="right"/>
    </w:pPr>
    <w:r w:rsidRPr="00236F7A">
      <w:t xml:space="preserve">TRADITIONAL AND CONTRIBUTION MARGIN </w:t>
    </w:r>
    <w:r w:rsidRPr="00236F7A">
      <w:t>INCOME STATEMENT</w:t>
    </w:r>
    <w:r>
      <w:t>S</w:t>
    </w:r>
    <w:r>
      <w:tab/>
    </w:r>
    <w:sdt>
      <w:sdtPr>
        <w:id w:val="-16068790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2D07">
          <w:rPr>
            <w:noProof/>
          </w:rPr>
          <w:t>7</w:t>
        </w:r>
        <w:r>
          <w:rPr>
            <w:noProof/>
          </w:rPr>
          <w:fldChar w:fldCharType="end"/>
        </w:r>
      </w:sdtContent>
    </w:sdt>
  </w:p>
  <w:p w14:paraId="09F4CC9E" w14:textId="77777777" w:rsidR="00236F7A" w:rsidRDefault="00236F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B4D51" w14:textId="564CDE99" w:rsidR="00236F7A" w:rsidRDefault="00E373D0" w:rsidP="00236F7A">
    <w:pPr>
      <w:pStyle w:val="Header"/>
    </w:pPr>
    <w:r>
      <w:t xml:space="preserve">Running head: </w:t>
    </w:r>
    <w:r w:rsidRPr="00236F7A">
      <w:t>TRADITIONAL AND CONTRIBUTION MARGIN INCOME STATEMENT</w:t>
    </w:r>
    <w:sdt>
      <w:sdtPr>
        <w:id w:val="1448737360"/>
        <w:docPartObj>
          <w:docPartGallery w:val="Page Numbers (Top of Page)"/>
          <w:docPartUnique/>
        </w:docPartObj>
      </w:sdtPr>
      <w:sdtEndPr>
        <w:rPr>
          <w:noProof/>
        </w:rPr>
      </w:sdtEndPr>
      <w:sdtContent>
        <w:r>
          <w:t>S</w:t>
        </w:r>
        <w:r>
          <w:tab/>
        </w:r>
        <w:r>
          <w:tab/>
          <w:t xml:space="preserve"> </w:t>
        </w:r>
        <w:r>
          <w:fldChar w:fldCharType="begin"/>
        </w:r>
        <w:r>
          <w:instrText xml:space="preserve"> PAGE   \* MERGEFORMAT </w:instrText>
        </w:r>
        <w:r>
          <w:fldChar w:fldCharType="separate"/>
        </w:r>
        <w:r w:rsidR="002F29B9">
          <w:rPr>
            <w:noProof/>
          </w:rPr>
          <w:t>1</w:t>
        </w:r>
        <w:r>
          <w:rPr>
            <w:noProof/>
          </w:rPr>
          <w:fldChar w:fldCharType="end"/>
        </w:r>
      </w:sdtContent>
    </w:sdt>
  </w:p>
  <w:p w14:paraId="11FD1195" w14:textId="323E1C65" w:rsidR="00236F7A" w:rsidRPr="00236F7A" w:rsidRDefault="00236F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D5027B"/>
    <w:multiLevelType w:val="hybridMultilevel"/>
    <w:tmpl w:val="F2C61626"/>
    <w:lvl w:ilvl="0" w:tplc="87E61AE0">
      <w:start w:val="1"/>
      <w:numFmt w:val="lowerLetter"/>
      <w:lvlText w:val="%1)"/>
      <w:lvlJc w:val="left"/>
      <w:pPr>
        <w:ind w:left="720" w:hanging="360"/>
      </w:pPr>
      <w:rPr>
        <w:rFonts w:hint="default"/>
      </w:rPr>
    </w:lvl>
    <w:lvl w:ilvl="1" w:tplc="6C4AE962" w:tentative="1">
      <w:start w:val="1"/>
      <w:numFmt w:val="lowerLetter"/>
      <w:lvlText w:val="%2."/>
      <w:lvlJc w:val="left"/>
      <w:pPr>
        <w:ind w:left="1440" w:hanging="360"/>
      </w:pPr>
    </w:lvl>
    <w:lvl w:ilvl="2" w:tplc="E66E9F6E" w:tentative="1">
      <w:start w:val="1"/>
      <w:numFmt w:val="lowerRoman"/>
      <w:lvlText w:val="%3."/>
      <w:lvlJc w:val="right"/>
      <w:pPr>
        <w:ind w:left="2160" w:hanging="180"/>
      </w:pPr>
    </w:lvl>
    <w:lvl w:ilvl="3" w:tplc="BC84AC50" w:tentative="1">
      <w:start w:val="1"/>
      <w:numFmt w:val="decimal"/>
      <w:lvlText w:val="%4."/>
      <w:lvlJc w:val="left"/>
      <w:pPr>
        <w:ind w:left="2880" w:hanging="360"/>
      </w:pPr>
    </w:lvl>
    <w:lvl w:ilvl="4" w:tplc="1E5890A0" w:tentative="1">
      <w:start w:val="1"/>
      <w:numFmt w:val="lowerLetter"/>
      <w:lvlText w:val="%5."/>
      <w:lvlJc w:val="left"/>
      <w:pPr>
        <w:ind w:left="3600" w:hanging="360"/>
      </w:pPr>
    </w:lvl>
    <w:lvl w:ilvl="5" w:tplc="DAD82D66" w:tentative="1">
      <w:start w:val="1"/>
      <w:numFmt w:val="lowerRoman"/>
      <w:lvlText w:val="%6."/>
      <w:lvlJc w:val="right"/>
      <w:pPr>
        <w:ind w:left="4320" w:hanging="180"/>
      </w:pPr>
    </w:lvl>
    <w:lvl w:ilvl="6" w:tplc="2356F674" w:tentative="1">
      <w:start w:val="1"/>
      <w:numFmt w:val="decimal"/>
      <w:lvlText w:val="%7."/>
      <w:lvlJc w:val="left"/>
      <w:pPr>
        <w:ind w:left="5040" w:hanging="360"/>
      </w:pPr>
    </w:lvl>
    <w:lvl w:ilvl="7" w:tplc="6982356E" w:tentative="1">
      <w:start w:val="1"/>
      <w:numFmt w:val="lowerLetter"/>
      <w:lvlText w:val="%8."/>
      <w:lvlJc w:val="left"/>
      <w:pPr>
        <w:ind w:left="5760" w:hanging="360"/>
      </w:pPr>
    </w:lvl>
    <w:lvl w:ilvl="8" w:tplc="374004CC" w:tentative="1">
      <w:start w:val="1"/>
      <w:numFmt w:val="lowerRoman"/>
      <w:lvlText w:val="%9."/>
      <w:lvlJc w:val="right"/>
      <w:pPr>
        <w:ind w:left="6480" w:hanging="180"/>
      </w:pPr>
    </w:lvl>
  </w:abstractNum>
  <w:abstractNum w:abstractNumId="1">
    <w:nsid w:val="6EE80E1E"/>
    <w:multiLevelType w:val="hybridMultilevel"/>
    <w:tmpl w:val="482ACF72"/>
    <w:lvl w:ilvl="0" w:tplc="808844A6">
      <w:start w:val="1"/>
      <w:numFmt w:val="upperLetter"/>
      <w:lvlText w:val="%1."/>
      <w:lvlJc w:val="left"/>
      <w:pPr>
        <w:ind w:left="720" w:hanging="360"/>
      </w:pPr>
      <w:rPr>
        <w:rFonts w:hint="default"/>
      </w:rPr>
    </w:lvl>
    <w:lvl w:ilvl="1" w:tplc="F1C24C9C" w:tentative="1">
      <w:start w:val="1"/>
      <w:numFmt w:val="lowerLetter"/>
      <w:lvlText w:val="%2."/>
      <w:lvlJc w:val="left"/>
      <w:pPr>
        <w:ind w:left="1440" w:hanging="360"/>
      </w:pPr>
    </w:lvl>
    <w:lvl w:ilvl="2" w:tplc="73BA3D7C" w:tentative="1">
      <w:start w:val="1"/>
      <w:numFmt w:val="lowerRoman"/>
      <w:lvlText w:val="%3."/>
      <w:lvlJc w:val="right"/>
      <w:pPr>
        <w:ind w:left="2160" w:hanging="180"/>
      </w:pPr>
    </w:lvl>
    <w:lvl w:ilvl="3" w:tplc="41A0F096" w:tentative="1">
      <w:start w:val="1"/>
      <w:numFmt w:val="decimal"/>
      <w:lvlText w:val="%4."/>
      <w:lvlJc w:val="left"/>
      <w:pPr>
        <w:ind w:left="2880" w:hanging="360"/>
      </w:pPr>
    </w:lvl>
    <w:lvl w:ilvl="4" w:tplc="49D4E136" w:tentative="1">
      <w:start w:val="1"/>
      <w:numFmt w:val="lowerLetter"/>
      <w:lvlText w:val="%5."/>
      <w:lvlJc w:val="left"/>
      <w:pPr>
        <w:ind w:left="3600" w:hanging="360"/>
      </w:pPr>
    </w:lvl>
    <w:lvl w:ilvl="5" w:tplc="6C4C3572" w:tentative="1">
      <w:start w:val="1"/>
      <w:numFmt w:val="lowerRoman"/>
      <w:lvlText w:val="%6."/>
      <w:lvlJc w:val="right"/>
      <w:pPr>
        <w:ind w:left="4320" w:hanging="180"/>
      </w:pPr>
    </w:lvl>
    <w:lvl w:ilvl="6" w:tplc="D1CE84EC" w:tentative="1">
      <w:start w:val="1"/>
      <w:numFmt w:val="decimal"/>
      <w:lvlText w:val="%7."/>
      <w:lvlJc w:val="left"/>
      <w:pPr>
        <w:ind w:left="5040" w:hanging="360"/>
      </w:pPr>
    </w:lvl>
    <w:lvl w:ilvl="7" w:tplc="F634EC56" w:tentative="1">
      <w:start w:val="1"/>
      <w:numFmt w:val="lowerLetter"/>
      <w:lvlText w:val="%8."/>
      <w:lvlJc w:val="left"/>
      <w:pPr>
        <w:ind w:left="5760" w:hanging="360"/>
      </w:pPr>
    </w:lvl>
    <w:lvl w:ilvl="8" w:tplc="55A4D28C"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3F"/>
    <w:rsid w:val="00047664"/>
    <w:rsid w:val="00081A0A"/>
    <w:rsid w:val="00095135"/>
    <w:rsid w:val="000C2E23"/>
    <w:rsid w:val="000E4C3A"/>
    <w:rsid w:val="00171204"/>
    <w:rsid w:val="00236F7A"/>
    <w:rsid w:val="00284BBA"/>
    <w:rsid w:val="00291A22"/>
    <w:rsid w:val="002F29B9"/>
    <w:rsid w:val="00321500"/>
    <w:rsid w:val="003511F5"/>
    <w:rsid w:val="00362F9E"/>
    <w:rsid w:val="0039468E"/>
    <w:rsid w:val="003C2D41"/>
    <w:rsid w:val="003D365D"/>
    <w:rsid w:val="004477AE"/>
    <w:rsid w:val="0045022A"/>
    <w:rsid w:val="00461BE5"/>
    <w:rsid w:val="004775B2"/>
    <w:rsid w:val="004E4B83"/>
    <w:rsid w:val="004F2603"/>
    <w:rsid w:val="005104AA"/>
    <w:rsid w:val="00556279"/>
    <w:rsid w:val="00571287"/>
    <w:rsid w:val="00603BCB"/>
    <w:rsid w:val="006A169F"/>
    <w:rsid w:val="006F1571"/>
    <w:rsid w:val="006F3D7D"/>
    <w:rsid w:val="007B33D5"/>
    <w:rsid w:val="00802C2A"/>
    <w:rsid w:val="00816257"/>
    <w:rsid w:val="00876083"/>
    <w:rsid w:val="008C7D35"/>
    <w:rsid w:val="008E4C3F"/>
    <w:rsid w:val="009609C9"/>
    <w:rsid w:val="009730A1"/>
    <w:rsid w:val="00984EEC"/>
    <w:rsid w:val="009F7741"/>
    <w:rsid w:val="00AE6AC3"/>
    <w:rsid w:val="00B36692"/>
    <w:rsid w:val="00B71EF2"/>
    <w:rsid w:val="00BA7545"/>
    <w:rsid w:val="00BC4BB2"/>
    <w:rsid w:val="00C0116C"/>
    <w:rsid w:val="00C04568"/>
    <w:rsid w:val="00C0478E"/>
    <w:rsid w:val="00C52B04"/>
    <w:rsid w:val="00C70E61"/>
    <w:rsid w:val="00C935BD"/>
    <w:rsid w:val="00D529F9"/>
    <w:rsid w:val="00D937A8"/>
    <w:rsid w:val="00E24C4D"/>
    <w:rsid w:val="00E373D0"/>
    <w:rsid w:val="00EB1953"/>
    <w:rsid w:val="00FE2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4BB8E-2A6B-46B1-9AC3-15719F51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6AC3"/>
    <w:pPr>
      <w:ind w:left="720"/>
      <w:contextualSpacing/>
    </w:pPr>
  </w:style>
  <w:style w:type="paragraph" w:styleId="NormalWeb">
    <w:name w:val="Normal (Web)"/>
    <w:basedOn w:val="Normal"/>
    <w:uiPriority w:val="99"/>
    <w:unhideWhenUsed/>
    <w:rsid w:val="00603BCB"/>
    <w:pPr>
      <w:spacing w:before="100" w:beforeAutospacing="1" w:after="100" w:afterAutospacing="1" w:line="240" w:lineRule="auto"/>
      <w:jc w:val="left"/>
    </w:pPr>
    <w:rPr>
      <w:rFonts w:eastAsia="Times New Roman" w:cs="Times New Roman"/>
      <w:szCs w:val="24"/>
    </w:rPr>
  </w:style>
  <w:style w:type="paragraph" w:styleId="Header">
    <w:name w:val="header"/>
    <w:basedOn w:val="Normal"/>
    <w:link w:val="HeaderChar"/>
    <w:uiPriority w:val="99"/>
    <w:unhideWhenUsed/>
    <w:rsid w:val="00236F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F7A"/>
    <w:rPr>
      <w:rFonts w:ascii="Times New Roman" w:hAnsi="Times New Roman"/>
      <w:sz w:val="24"/>
    </w:rPr>
  </w:style>
  <w:style w:type="paragraph" w:styleId="Footer">
    <w:name w:val="footer"/>
    <w:basedOn w:val="Normal"/>
    <w:link w:val="FooterChar"/>
    <w:uiPriority w:val="99"/>
    <w:unhideWhenUsed/>
    <w:rsid w:val="00236F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6F7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2020-02-09T20:52:00Z</dcterms:created>
  <dcterms:modified xsi:type="dcterms:W3CDTF">2020-02-09T20:52:00Z</dcterms:modified>
</cp:coreProperties>
</file>